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AA0D92" w:rsidP="00AA0D92">
      <w:pPr>
        <w:rPr>
          <w:rFonts w:ascii="Arial" w:hAnsi="Arial" w:cs="Arial"/>
          <w:b/>
          <w:sz w:val="24"/>
          <w:szCs w:val="24"/>
          <w:u w:val="single"/>
        </w:rPr>
      </w:pPr>
    </w:p>
    <w:p w:rsidR="00AA0D92" w:rsidP="00AA0D92">
      <w:pPr>
        <w:rPr>
          <w:rFonts w:ascii="Arial" w:hAnsi="Arial" w:cs="Arial"/>
          <w:b/>
          <w:sz w:val="24"/>
          <w:szCs w:val="24"/>
          <w:u w:val="single"/>
        </w:rPr>
      </w:pPr>
    </w:p>
    <w:p w:rsidR="00AA0D92" w:rsidP="00AA0D92">
      <w:pPr>
        <w:rPr>
          <w:rFonts w:ascii="Arial" w:hAnsi="Arial" w:cs="Arial"/>
          <w:b/>
          <w:sz w:val="24"/>
          <w:szCs w:val="24"/>
          <w:u w:val="single"/>
        </w:rPr>
      </w:pPr>
    </w:p>
    <w:p w:rsidR="00AA0D92" w:rsidP="00AA0D92">
      <w:pPr>
        <w:rPr>
          <w:rFonts w:ascii="Arial" w:hAnsi="Arial" w:cs="Arial"/>
          <w:b/>
          <w:sz w:val="24"/>
          <w:szCs w:val="24"/>
          <w:u w:val="single"/>
        </w:rPr>
      </w:pPr>
    </w:p>
    <w:p w:rsidR="00AA0D92" w:rsidRPr="00F63A2B" w:rsidP="00AA0D92">
      <w:pPr>
        <w:rPr>
          <w:rFonts w:ascii="Arial" w:hAnsi="Arial" w:cs="Arial"/>
          <w:b/>
          <w:sz w:val="24"/>
          <w:szCs w:val="24"/>
          <w:u w:val="single"/>
        </w:rPr>
      </w:pPr>
      <w:r w:rsidRPr="00F63A2B">
        <w:rPr>
          <w:rFonts w:ascii="Arial" w:hAnsi="Arial" w:cs="Arial"/>
          <w:b/>
          <w:sz w:val="24"/>
          <w:szCs w:val="24"/>
          <w:u w:val="single"/>
        </w:rPr>
        <w:t>STATEMENT OF REASONS</w:t>
      </w:r>
    </w:p>
    <w:p w:rsidR="00AA0D92" w:rsidRPr="00F63A2B" w:rsidP="00AA0D92">
      <w:pPr>
        <w:rPr>
          <w:rFonts w:ascii="Arial" w:hAnsi="Arial" w:cs="Arial"/>
          <w:sz w:val="24"/>
          <w:szCs w:val="24"/>
        </w:rPr>
      </w:pPr>
    </w:p>
    <w:p w:rsidR="00AA0D92" w:rsidP="00AA0D92">
      <w:pPr>
        <w:rPr>
          <w:rFonts w:ascii="Arial" w:hAnsi="Arial" w:cs="Arial"/>
          <w:sz w:val="24"/>
          <w:szCs w:val="24"/>
        </w:rPr>
      </w:pPr>
      <w:r>
        <w:rPr>
          <w:rFonts w:ascii="Arial" w:hAnsi="Arial" w:cs="Arial"/>
          <w:sz w:val="24"/>
          <w:szCs w:val="24"/>
        </w:rPr>
        <w:t>"</w:t>
      </w:r>
      <w:r w:rsidRPr="00EB3E4C">
        <w:rPr>
          <w:rFonts w:ascii="Arial" w:hAnsi="Arial" w:cs="Arial"/>
          <w:sz w:val="24"/>
          <w:szCs w:val="24"/>
        </w:rPr>
        <w:t xml:space="preserve">The County council is contractually bound to provide a number of bays complete with the necessary electric equipment to allow drivers to charge electrically powered vehicles. </w:t>
      </w:r>
    </w:p>
    <w:p w:rsidR="00AA0D92" w:rsidRPr="00EB3E4C" w:rsidP="00AA0D92">
      <w:pPr>
        <w:rPr>
          <w:rFonts w:ascii="Arial" w:hAnsi="Arial" w:cs="Arial"/>
          <w:sz w:val="24"/>
          <w:szCs w:val="24"/>
        </w:rPr>
      </w:pPr>
    </w:p>
    <w:p w:rsidR="00AA0D92" w:rsidP="00AA0D92">
      <w:pPr>
        <w:rPr>
          <w:rFonts w:ascii="Arial" w:hAnsi="Arial" w:cs="Arial"/>
          <w:sz w:val="24"/>
          <w:szCs w:val="24"/>
        </w:rPr>
      </w:pPr>
      <w:r w:rsidRPr="00EB3E4C">
        <w:rPr>
          <w:rFonts w:ascii="Arial" w:hAnsi="Arial" w:cs="Arial"/>
          <w:sz w:val="24"/>
          <w:szCs w:val="24"/>
        </w:rPr>
        <w:t xml:space="preserve">The purpose of this traffic regulation order is to ensure that the bays are available and used for drivers to charge their vehicles and to ensure once the charging is complete the bays are vacated to allow others to use the same facilities. </w:t>
      </w:r>
    </w:p>
    <w:p w:rsidR="00AA0D92" w:rsidRPr="00F63A2B" w:rsidP="00AA0D92">
      <w:pPr>
        <w:rPr>
          <w:rFonts w:ascii="Arial" w:hAnsi="Arial" w:cs="Arial"/>
          <w:sz w:val="24"/>
          <w:szCs w:val="24"/>
        </w:rPr>
      </w:pPr>
    </w:p>
    <w:p w:rsidR="00AA0D92" w:rsidRPr="00F63A2B" w:rsidP="00AA0D92">
      <w:pPr>
        <w:rPr>
          <w:rFonts w:ascii="Arial" w:hAnsi="Arial" w:cs="Arial"/>
          <w:sz w:val="24"/>
          <w:szCs w:val="24"/>
        </w:rPr>
      </w:pPr>
      <w:r w:rsidRPr="00F63A2B">
        <w:rPr>
          <w:rFonts w:ascii="Arial" w:hAnsi="Arial" w:cs="Arial"/>
          <w:sz w:val="24"/>
          <w:szCs w:val="24"/>
        </w:rPr>
        <w:t>It is recommended that this be progressed as an experimental order to assess how the restrictions are used in practice, allowing amendments to be undertaken as a result of changing visitor requirements and behaviour if necessary</w:t>
      </w:r>
      <w:r>
        <w:rPr>
          <w:rFonts w:ascii="Arial" w:hAnsi="Arial" w:cs="Arial"/>
          <w:sz w:val="24"/>
          <w:szCs w:val="24"/>
        </w:rPr>
        <w:t xml:space="preserve"> including the size and finite positioning of the individual charging bays</w:t>
      </w:r>
      <w:r w:rsidRPr="00F63A2B">
        <w:rPr>
          <w:rFonts w:ascii="Arial" w:hAnsi="Arial" w:cs="Arial"/>
          <w:sz w:val="24"/>
          <w:szCs w:val="24"/>
        </w:rPr>
        <w:t>".</w:t>
      </w:r>
    </w:p>
    <w:p w:rsidR="002E3596" w:rsidRPr="00AA0D92" w:rsidP="00AA0D92">
      <w:bookmarkStart w:id="0" w:name="_GoBack"/>
      <w:bookmarkEnd w:id="0"/>
    </w:p>
    <w:sectPr w:rsidSect="0027122F">
      <w:headerReference w:type="default" r:id="rId4"/>
      <w:footerReference w:type="default" r:id="rId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36630140"/>
      <w:docPartObj>
        <w:docPartGallery w:val="Page Numbers (Bottom of Page)"/>
        <w:docPartUnique/>
      </w:docPartObj>
    </w:sdtPr>
    <w:sdtContent>
      <w:sdt>
        <w:sdtPr>
          <w:id w:val="-1769616900"/>
          <w:docPartObj>
            <w:docPartGallery w:val="Page Numbers (Top of Page)"/>
            <w:docPartUnique/>
          </w:docPartObj>
        </w:sdtPr>
        <w:sdtContent>
          <w:p w:rsidR="009B24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rsidR="009B24F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D92">
    <w:pPr>
      <w:pStyle w:val="Header"/>
    </w:pPr>
    <w:r>
      <w:t>EV-O</w:t>
    </w:r>
    <w:r>
      <w:t>n-Street – Order No.1</w:t>
    </w:r>
  </w:p>
  <w:p w:rsidR="009B24F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JUdF2fP5X9I/wdCfVjjX3E5Dqzg0qqB6BAqhciTBlpthQa2Ku2ZHQYYG2LSGgTYiOwm4ocWbJBVW&#10;Khvjoz6qvA==&#10;" w:salt="zcFXy7yQPanJ4v84rQ8QkQ==&#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D92"/>
    <w:pPr>
      <w:tabs>
        <w:tab w:val="center" w:pos="4513"/>
        <w:tab w:val="right" w:pos="9026"/>
      </w:tabs>
    </w:pPr>
  </w:style>
  <w:style w:type="character" w:customStyle="1" w:styleId="HeaderChar">
    <w:name w:val="Header Char"/>
    <w:basedOn w:val="DefaultParagraphFont"/>
    <w:link w:val="Header"/>
    <w:uiPriority w:val="99"/>
    <w:rsid w:val="00AA0D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0D92"/>
    <w:pPr>
      <w:tabs>
        <w:tab w:val="center" w:pos="4513"/>
        <w:tab w:val="right" w:pos="9026"/>
      </w:tabs>
    </w:pPr>
  </w:style>
  <w:style w:type="character" w:customStyle="1" w:styleId="FooterChar">
    <w:name w:val="Footer Char"/>
    <w:basedOn w:val="DefaultParagraphFont"/>
    <w:link w:val="Footer"/>
    <w:uiPriority w:val="99"/>
    <w:rsid w:val="00AA0D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Chris</dc:creator>
  <cp:lastModifiedBy>Price, Tracey</cp:lastModifiedBy>
  <cp:revision>2</cp:revision>
  <dcterms:created xsi:type="dcterms:W3CDTF">2019-01-24T08:42:00Z</dcterms:created>
  <dcterms:modified xsi:type="dcterms:W3CDTF">2019-01-24T08:42:00Z</dcterms:modified>
</cp:coreProperties>
</file>